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0" w:lineRule="atLeast"/>
        <w:jc w:val="left"/>
        <w:rPr>
          <w:rFonts w:hint="eastAsia" w:ascii="方正仿宋简体" w:eastAsia="方正仿宋简体"/>
          <w:color w:val="333333"/>
          <w:sz w:val="32"/>
          <w:szCs w:val="32"/>
        </w:rPr>
      </w:pPr>
      <w:r>
        <w:rPr>
          <w:rFonts w:hint="eastAsia" w:ascii="方正仿宋简体" w:eastAsia="方正仿宋简体"/>
          <w:color w:val="333333"/>
          <w:sz w:val="32"/>
          <w:szCs w:val="32"/>
        </w:rPr>
        <w:t>附件：</w:t>
      </w:r>
    </w:p>
    <w:p>
      <w:pPr>
        <w:adjustRightInd w:val="0"/>
        <w:snapToGrid w:val="0"/>
        <w:spacing w:beforeLines="50" w:afterLines="50" w:line="360" w:lineRule="auto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201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7</w:t>
      </w:r>
      <w:r>
        <w:rPr>
          <w:rFonts w:ascii="Times New Roman" w:hAnsi="黑体" w:eastAsia="黑体"/>
          <w:color w:val="000000"/>
          <w:sz w:val="32"/>
          <w:szCs w:val="32"/>
        </w:rPr>
        <w:t>年度国家工程建设（勘察设计）优秀</w:t>
      </w:r>
      <w:r>
        <w:rPr>
          <w:rFonts w:ascii="Times New Roman" w:hAnsi="Times New Roman" w:eastAsia="黑体"/>
          <w:color w:val="000000"/>
          <w:sz w:val="32"/>
          <w:szCs w:val="32"/>
        </w:rPr>
        <w:t>QC</w:t>
      </w:r>
      <w:r>
        <w:rPr>
          <w:rFonts w:ascii="Times New Roman" w:hAnsi="黑体" w:eastAsia="黑体"/>
          <w:color w:val="000000"/>
          <w:sz w:val="32"/>
          <w:szCs w:val="32"/>
        </w:rPr>
        <w:t>小组名单</w:t>
      </w:r>
    </w:p>
    <w:p>
      <w:pPr>
        <w:adjustRightInd w:val="0"/>
        <w:snapToGrid w:val="0"/>
        <w:spacing w:beforeLines="50" w:afterLines="50" w:line="360" w:lineRule="auto"/>
        <w:jc w:val="center"/>
        <w:rPr>
          <w:rFonts w:ascii="楷体_GB2312" w:hAnsi="黑体" w:eastAsia="楷体_GB2312"/>
          <w:color w:val="000000"/>
          <w:sz w:val="28"/>
          <w:szCs w:val="28"/>
        </w:rPr>
      </w:pPr>
      <w:r>
        <w:rPr>
          <w:rFonts w:hint="eastAsia" w:ascii="楷体_GB2312" w:hAnsi="黑体" w:eastAsia="楷体_GB2312"/>
          <w:color w:val="000000"/>
          <w:sz w:val="28"/>
          <w:szCs w:val="28"/>
        </w:rPr>
        <w:t>（排名不分先后）</w:t>
      </w:r>
    </w:p>
    <w:p>
      <w:pPr>
        <w:widowControl/>
        <w:shd w:val="clear" w:color="auto" w:fill="FFFFFF"/>
        <w:spacing w:line="270" w:lineRule="atLeast"/>
        <w:ind w:firstLine="592"/>
        <w:jc w:val="center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二等奖（10个）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27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713" w:type="dxa"/>
          </w:tcPr>
          <w:p>
            <w:pPr>
              <w:spacing w:line="27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</w:rPr>
              <w:t>小组名称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中核第四研究设计工程有限公司环境保护QC小组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邯郸慧龙电力设计研究有限公司慧龙公司软件部QC小组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河北省电力勘测设计研究院云桌面QC小组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河北省电力勘测设计研究院王洪军多媒体技术创新QC小组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河北省电力勘测设计研究院发电水工第一QC小组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河北省电力勘测设计研究院冀电智造QC小组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河北省电力勘测设计研究院物探QC小组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河北省电力勘测设计研究院工程数字化技术QC小组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华北有色工程勘察院有限公司“鱼刺型”分支孔的施工效率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w w:val="97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w w:val="97"/>
                <w:kern w:val="0"/>
                <w:sz w:val="24"/>
                <w:szCs w:val="24"/>
              </w:rPr>
              <w:t>中冶地勘岩土工程有限责任公司 首钢京唐公司二期焦化桩基工程QC小组</w:t>
            </w:r>
          </w:p>
        </w:tc>
      </w:tr>
    </w:tbl>
    <w:p>
      <w:pPr>
        <w:widowControl/>
        <w:shd w:val="clear" w:color="auto" w:fill="FFFFFF"/>
        <w:spacing w:line="270" w:lineRule="atLeast"/>
        <w:ind w:firstLine="592"/>
        <w:jc w:val="center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三等奖（11个）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27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713" w:type="dxa"/>
          </w:tcPr>
          <w:p>
            <w:pPr>
              <w:spacing w:line="27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</w:rPr>
              <w:t>小组名称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中煤邯郸设计工程有限责任公司岩土QC小组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中核第四研究设计工程有限公司医工所工艺室QC小组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中核第四研究设计工程有限公司建筑所建筑室QC小组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河北省电力勘测设计研究院修配车间QC小组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河北省电力勘测设计研究院电子档案管理系统研发QC小组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27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河北省电力勘测设计研究院移动办公开发QC小组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河北省电力勘测设计研究院物测QC小组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河北省电力勘测设计研究院水文气象QC小组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河北省电力勘测设计研究院勘测测绘QC小组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中冶地勘岩土工程有限责任公司乌鲁木齐轨道交通1#线10标段小西沟附属结构围护桩项目QC小组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713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中冶地勘岩土工程有限责任公司超深、超大直径水上旋挖钻孔灌注桩施工质量控制QC小组</w:t>
            </w:r>
          </w:p>
        </w:tc>
      </w:tr>
    </w:tbl>
    <w:p>
      <w:pPr>
        <w:shd w:val="clear" w:color="auto" w:fill="FFFFFF"/>
        <w:spacing w:line="270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；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5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2017-09-08T07:09:18Z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