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20" w:lineRule="exact"/>
        <w:jc w:val="center"/>
        <w:rPr>
          <w:rFonts w:ascii="仿宋_GB2312" w:eastAsia="仿宋_GB2312"/>
          <w:b/>
          <w:color w:val="000000"/>
          <w:sz w:val="30"/>
          <w:szCs w:val="30"/>
        </w:rPr>
      </w:pPr>
      <w:r>
        <w:rPr>
          <w:rFonts w:hint="eastAsia" w:ascii="仿宋_GB2312" w:eastAsia="仿宋_GB2312"/>
          <w:b/>
          <w:color w:val="000000"/>
          <w:sz w:val="30"/>
          <w:szCs w:val="30"/>
        </w:rPr>
        <w:t>工程项目全过程管理咨询暨工程总承包理论与操作</w:t>
      </w:r>
    </w:p>
    <w:tbl>
      <w:tblPr>
        <w:tblStyle w:val="4"/>
        <w:tblpPr w:leftFromText="180" w:rightFromText="180" w:vertAnchor="text" w:horzAnchor="margin" w:tblpXSpec="center" w:tblpY="769"/>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35"/>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1017" w:type="dxa"/>
            <w:tcBorders>
              <w:top w:val="single" w:color="auto" w:sz="4" w:space="0"/>
              <w:left w:val="single" w:color="auto" w:sz="4" w:space="0"/>
              <w:bottom w:val="single" w:color="auto" w:sz="4" w:space="0"/>
              <w:right w:val="single" w:color="auto" w:sz="4" w:space="0"/>
            </w:tcBorders>
            <w:shd w:val="clear" w:color="auto" w:fill="D6DCE5" w:themeFill="text2" w:themeFillTint="32"/>
            <w:vAlign w:val="center"/>
          </w:tcPr>
          <w:p>
            <w:pPr>
              <w:spacing w:line="260" w:lineRule="exac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日  期</w:t>
            </w:r>
          </w:p>
        </w:tc>
        <w:tc>
          <w:tcPr>
            <w:tcW w:w="1835" w:type="dxa"/>
            <w:tcBorders>
              <w:top w:val="single" w:color="auto" w:sz="4" w:space="0"/>
              <w:left w:val="single" w:color="auto" w:sz="4" w:space="0"/>
              <w:bottom w:val="single" w:color="auto" w:sz="4" w:space="0"/>
              <w:right w:val="single" w:color="auto" w:sz="4" w:space="0"/>
            </w:tcBorders>
            <w:shd w:val="clear" w:color="auto" w:fill="D6DCE5" w:themeFill="text2" w:themeFillTint="32"/>
            <w:vAlign w:val="center"/>
          </w:tcPr>
          <w:p>
            <w:pPr>
              <w:spacing w:line="26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时间及地点</w:t>
            </w:r>
          </w:p>
        </w:tc>
        <w:tc>
          <w:tcPr>
            <w:tcW w:w="6913" w:type="dxa"/>
            <w:tcBorders>
              <w:top w:val="single" w:color="auto" w:sz="4" w:space="0"/>
              <w:left w:val="single" w:color="auto" w:sz="4" w:space="0"/>
              <w:bottom w:val="single" w:color="auto" w:sz="4" w:space="0"/>
              <w:right w:val="single" w:color="auto" w:sz="4" w:space="0"/>
            </w:tcBorders>
            <w:shd w:val="clear" w:color="auto" w:fill="D6DCE5" w:themeFill="text2" w:themeFillTint="32"/>
            <w:vAlign w:val="center"/>
          </w:tcPr>
          <w:p>
            <w:pPr>
              <w:spacing w:line="26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学    习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0" w:hRule="atLeast"/>
        </w:trPr>
        <w:tc>
          <w:tcPr>
            <w:tcW w:w="10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第一天</w:t>
            </w:r>
          </w:p>
        </w:tc>
        <w:tc>
          <w:tcPr>
            <w:tcW w:w="1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08:30-10:30</w:t>
            </w:r>
          </w:p>
        </w:tc>
        <w:tc>
          <w:tcPr>
            <w:tcW w:w="6913" w:type="dxa"/>
            <w:tcBorders>
              <w:top w:val="single" w:color="auto" w:sz="4" w:space="0"/>
              <w:left w:val="single" w:color="auto" w:sz="4" w:space="0"/>
              <w:bottom w:val="nil"/>
              <w:right w:val="single" w:color="auto" w:sz="4" w:space="0"/>
            </w:tcBorders>
            <w:vAlign w:val="center"/>
          </w:tcPr>
          <w:p>
            <w:pPr>
              <w:spacing w:line="240" w:lineRule="exact"/>
              <w:rPr>
                <w:rFonts w:ascii="仿宋_GB2312" w:hAnsi="仿宋_GB2312" w:eastAsia="仿宋_GB2312" w:cs="仿宋_GB2312"/>
                <w:sz w:val="24"/>
              </w:rPr>
            </w:pPr>
            <w:r>
              <w:rPr>
                <w:rFonts w:hint="eastAsia" w:ascii="仿宋_GB2312" w:hAnsi="仿宋_GB2312" w:eastAsia="仿宋_GB2312" w:cs="仿宋_GB2312"/>
                <w:b/>
                <w:bCs/>
                <w:sz w:val="24"/>
              </w:rPr>
              <w:t>一、国际工程建设项目全过程管理咨询与工程总承包管理的基本理论知识准备</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1.工程项目全过程管理的任务与阶段划分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2.从传统工程项目管理观向现代项目管理观的发展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3.工程项目管理周期的各类表述方式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4.工程项目的参与人及不同的参与周期 </w:t>
            </w:r>
          </w:p>
          <w:p>
            <w:pPr>
              <w:spacing w:before="156" w:beforeLines="50" w:line="240" w:lineRule="exact"/>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 w:val="24"/>
              </w:rPr>
              <w:t>主讲人：孔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ind w:firstLine="210" w:firstLineChars="100"/>
              <w:jc w:val="center"/>
              <w:rPr>
                <w:rFonts w:ascii="仿宋_GB2312" w:hAnsi="仿宋_GB2312" w:eastAsia="仿宋_GB2312" w:cs="仿宋_GB2312"/>
              </w:rPr>
            </w:pPr>
            <w:r>
              <w:rPr>
                <w:rFonts w:hint="eastAsia" w:ascii="仿宋_GB2312" w:hAnsi="仿宋_GB2312" w:eastAsia="仿宋_GB2312" w:cs="仿宋_GB2312"/>
              </w:rPr>
              <w:t>10:30-10:40</w:t>
            </w:r>
          </w:p>
        </w:tc>
        <w:tc>
          <w:tcPr>
            <w:tcW w:w="691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ind w:firstLine="210" w:firstLineChars="100"/>
              <w:rPr>
                <w:rFonts w:ascii="仿宋_GB2312" w:hAnsi="仿宋_GB2312" w:eastAsia="仿宋_GB2312" w:cs="仿宋_GB2312"/>
              </w:rPr>
            </w:pPr>
            <w:r>
              <w:rPr>
                <w:rFonts w:hint="eastAsia" w:ascii="仿宋_GB2312" w:hAnsi="仿宋_GB2312" w:eastAsia="仿宋_GB2312" w:cs="仿宋_GB2312"/>
              </w:rPr>
              <w:t>中场休息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before="156" w:beforeLines="50" w:line="400" w:lineRule="exact"/>
              <w:jc w:val="center"/>
              <w:rPr>
                <w:rFonts w:ascii="仿宋_GB2312" w:hAnsi="仿宋_GB2312" w:eastAsia="仿宋_GB2312" w:cs="仿宋_GB2312"/>
                <w:b/>
                <w:bCs/>
                <w:sz w:val="24"/>
              </w:rPr>
            </w:pPr>
            <w:r>
              <w:rPr>
                <w:rFonts w:hint="eastAsia" w:ascii="仿宋_GB2312" w:hAnsi="仿宋_GB2312" w:eastAsia="仿宋_GB2312" w:cs="仿宋_GB2312"/>
                <w:color w:val="000000"/>
                <w:szCs w:val="21"/>
              </w:rPr>
              <w:t>10:40-12:00</w:t>
            </w:r>
          </w:p>
        </w:tc>
        <w:tc>
          <w:tcPr>
            <w:tcW w:w="691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5.项目投资与造价的全过程管理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6.中外工程项目设计体系的异同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7.常见的工程项目管理模式 </w:t>
            </w:r>
          </w:p>
          <w:p>
            <w:pPr>
              <w:spacing w:before="156" w:beforeLines="50" w:line="240" w:lineRule="exact"/>
              <w:ind w:firstLine="240" w:firstLineChars="100"/>
              <w:rPr>
                <w:rFonts w:ascii="仿宋_GB2312" w:hAnsi="仿宋_GB2312" w:eastAsia="仿宋_GB2312" w:cs="仿宋_GB2312"/>
                <w:b/>
                <w:bCs/>
                <w:sz w:val="24"/>
              </w:rPr>
            </w:pPr>
            <w:r>
              <w:rPr>
                <w:rFonts w:hint="eastAsia" w:ascii="仿宋_GB2312" w:hAnsi="仿宋_GB2312" w:eastAsia="仿宋_GB2312" w:cs="仿宋_GB2312"/>
                <w:sz w:val="24"/>
              </w:rPr>
              <w:t>主讲人：孔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ind w:firstLine="210" w:firstLineChars="100"/>
              <w:jc w:val="center"/>
              <w:rPr>
                <w:rFonts w:ascii="仿宋_GB2312" w:hAnsi="仿宋_GB2312" w:eastAsia="仿宋_GB2312" w:cs="仿宋_GB2312"/>
              </w:rPr>
            </w:pPr>
            <w:r>
              <w:rPr>
                <w:rFonts w:hint="eastAsia" w:ascii="仿宋_GB2312" w:hAnsi="仿宋_GB2312" w:eastAsia="仿宋_GB2312" w:cs="仿宋_GB2312"/>
              </w:rPr>
              <w:t>12:00-14:00</w:t>
            </w:r>
          </w:p>
        </w:tc>
        <w:tc>
          <w:tcPr>
            <w:tcW w:w="691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ind w:firstLine="210" w:firstLineChars="100"/>
              <w:rPr>
                <w:rFonts w:ascii="仿宋_GB2312" w:hAnsi="仿宋_GB2312" w:eastAsia="仿宋_GB2312" w:cs="仿宋_GB2312"/>
              </w:rPr>
            </w:pPr>
            <w:r>
              <w:rPr>
                <w:rFonts w:hint="eastAsia" w:ascii="仿宋_GB2312" w:hAnsi="仿宋_GB2312" w:eastAsia="仿宋_GB2312" w:cs="仿宋_GB2312"/>
              </w:rPr>
              <w:t>中餐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5" w:hRule="atLeast"/>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14:00-16:00</w:t>
            </w:r>
          </w:p>
        </w:tc>
        <w:tc>
          <w:tcPr>
            <w:tcW w:w="691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sz w:val="24"/>
              </w:rPr>
            </w:pPr>
            <w:r>
              <w:rPr>
                <w:rFonts w:hint="eastAsia" w:ascii="仿宋_GB2312" w:hAnsi="仿宋_GB2312" w:eastAsia="仿宋_GB2312" w:cs="仿宋_GB2312"/>
                <w:b/>
                <w:bCs/>
                <w:sz w:val="24"/>
              </w:rPr>
              <w:t>二、投资建设、勘察、设计、监理及其他咨询企业的项目全过程管理咨询实务及对开展此类业务的建议</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1.工程建设项目全过程管理业务的历史因袭</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2.项目管理组织方式</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3.项目管理决策程序</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4.项目筹融资方式</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5.各类项目预控计划的编制及向实施性计划的转换</w:t>
            </w:r>
          </w:p>
          <w:p>
            <w:pPr>
              <w:spacing w:before="156" w:beforeLines="50" w:line="24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sz w:val="24"/>
              </w:rPr>
              <w:t>主讲人：孔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ind w:firstLine="210" w:firstLineChars="100"/>
              <w:jc w:val="center"/>
              <w:rPr>
                <w:rFonts w:ascii="仿宋_GB2312" w:hAnsi="仿宋_GB2312" w:eastAsia="仿宋_GB2312" w:cs="仿宋_GB2312"/>
              </w:rPr>
            </w:pPr>
            <w:r>
              <w:rPr>
                <w:rFonts w:hint="eastAsia" w:ascii="仿宋_GB2312" w:hAnsi="仿宋_GB2312" w:eastAsia="仿宋_GB2312" w:cs="仿宋_GB2312"/>
              </w:rPr>
              <w:t>16:00-16:10</w:t>
            </w:r>
          </w:p>
        </w:tc>
        <w:tc>
          <w:tcPr>
            <w:tcW w:w="691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ind w:firstLine="481"/>
              <w:jc w:val="left"/>
              <w:rPr>
                <w:rFonts w:ascii="仿宋_GB2312" w:hAnsi="仿宋_GB2312" w:eastAsia="仿宋_GB2312" w:cs="仿宋_GB2312"/>
                <w:szCs w:val="21"/>
              </w:rPr>
            </w:pPr>
            <w:r>
              <w:rPr>
                <w:rFonts w:hint="eastAsia" w:ascii="仿宋_GB2312" w:hAnsi="仿宋_GB2312" w:eastAsia="仿宋_GB2312" w:cs="仿宋_GB2312"/>
                <w:szCs w:val="21"/>
              </w:rPr>
              <w:t>中场休息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3" w:hRule="atLeast"/>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16:10-17:30</w:t>
            </w:r>
          </w:p>
        </w:tc>
        <w:tc>
          <w:tcPr>
            <w:tcW w:w="6913" w:type="dxa"/>
            <w:tcBorders>
              <w:top w:val="single" w:color="auto" w:sz="4" w:space="0"/>
              <w:left w:val="single" w:color="auto" w:sz="4" w:space="0"/>
              <w:bottom w:val="single" w:color="auto" w:sz="4" w:space="0"/>
              <w:right w:val="single" w:color="auto" w:sz="4" w:space="0"/>
            </w:tcBorders>
            <w:vAlign w:val="center"/>
          </w:tcPr>
          <w:p>
            <w:pPr>
              <w:spacing w:line="20" w:lineRule="exact"/>
              <w:ind w:firstLine="240" w:firstLineChars="100"/>
              <w:rPr>
                <w:rFonts w:ascii="仿宋_GB2312" w:hAnsi="仿宋_GB2312" w:eastAsia="仿宋_GB2312" w:cs="仿宋_GB2312"/>
                <w:sz w:val="24"/>
              </w:rPr>
            </w:pPr>
          </w:p>
          <w:p>
            <w:pPr>
              <w:spacing w:line="20" w:lineRule="exact"/>
              <w:ind w:firstLine="240" w:firstLineChars="100"/>
              <w:rPr>
                <w:rFonts w:ascii="仿宋_GB2312" w:hAnsi="仿宋_GB2312" w:eastAsia="仿宋_GB2312" w:cs="仿宋_GB2312"/>
                <w:sz w:val="24"/>
              </w:rPr>
            </w:pPr>
          </w:p>
          <w:p>
            <w:pPr>
              <w:spacing w:line="20" w:lineRule="exact"/>
              <w:ind w:firstLine="240" w:firstLineChars="100"/>
              <w:rPr>
                <w:rFonts w:ascii="仿宋_GB2312" w:hAnsi="仿宋_GB2312" w:eastAsia="仿宋_GB2312" w:cs="仿宋_GB2312"/>
                <w:sz w:val="24"/>
              </w:rPr>
            </w:pPr>
          </w:p>
          <w:p>
            <w:pPr>
              <w:spacing w:line="20" w:lineRule="exact"/>
              <w:ind w:firstLine="240" w:firstLineChars="100"/>
              <w:rPr>
                <w:rFonts w:ascii="仿宋_GB2312" w:hAnsi="仿宋_GB2312" w:eastAsia="仿宋_GB2312" w:cs="仿宋_GB2312"/>
                <w:sz w:val="24"/>
              </w:rPr>
            </w:pP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6.项目预控计划的编制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7.项目管理组织计划/合同网络图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8.项目进度总控制计划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9.项目造价总控制计划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10两个派生计划的利用 </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11.项目的采购与合同管理</w:t>
            </w:r>
          </w:p>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12.有效的职业健康、安全与环境（HSE）管理</w:t>
            </w:r>
          </w:p>
          <w:p>
            <w:pPr>
              <w:spacing w:line="24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sz w:val="24"/>
              </w:rPr>
              <w:t>13.不同的项目参与方承担全过程</w:t>
            </w:r>
            <w:r>
              <w:rPr>
                <w:rFonts w:hint="eastAsia" w:ascii="仿宋_GB2312" w:hAnsi="仿宋_GB2312" w:eastAsia="仿宋_GB2312" w:cs="仿宋_GB2312"/>
                <w:szCs w:val="21"/>
              </w:rPr>
              <w:t>管理咨询业务的短板及补齐</w:t>
            </w:r>
          </w:p>
          <w:p>
            <w:pPr>
              <w:spacing w:before="156" w:beforeLines="50" w:line="24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sz w:val="24"/>
              </w:rPr>
              <w:t>主讲人：孔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8" w:hRule="atLeast"/>
        </w:trPr>
        <w:tc>
          <w:tcPr>
            <w:tcW w:w="1017" w:type="dxa"/>
            <w:vMerge w:val="restart"/>
            <w:tcBorders>
              <w:top w:val="single" w:color="auto" w:sz="4" w:space="0"/>
              <w:left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第二天</w:t>
            </w:r>
          </w:p>
        </w:tc>
        <w:tc>
          <w:tcPr>
            <w:tcW w:w="1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08:30-10:30</w:t>
            </w:r>
          </w:p>
        </w:tc>
        <w:tc>
          <w:tcPr>
            <w:tcW w:w="6913" w:type="dxa"/>
            <w:tcBorders>
              <w:top w:val="single" w:color="auto" w:sz="4" w:space="0"/>
              <w:left w:val="single" w:color="auto" w:sz="4" w:space="0"/>
              <w:bottom w:val="single" w:color="auto" w:sz="4" w:space="0"/>
              <w:right w:val="single" w:color="auto" w:sz="4" w:space="0"/>
            </w:tcBorders>
            <w:vAlign w:val="center"/>
          </w:tcPr>
          <w:p>
            <w:pPr>
              <w:spacing w:line="20" w:lineRule="exact"/>
              <w:rPr>
                <w:rFonts w:ascii="仿宋_GB2312" w:hAnsi="仿宋_GB2312" w:eastAsia="仿宋_GB2312" w:cs="仿宋_GB2312"/>
                <w:b/>
                <w:bCs/>
                <w:sz w:val="24"/>
              </w:rPr>
            </w:pPr>
          </w:p>
          <w:p>
            <w:pPr>
              <w:spacing w:line="20" w:lineRule="exact"/>
              <w:rPr>
                <w:rFonts w:ascii="仿宋_GB2312" w:hAnsi="仿宋_GB2312" w:eastAsia="仿宋_GB2312" w:cs="仿宋_GB2312"/>
                <w:b/>
                <w:bCs/>
                <w:sz w:val="24"/>
              </w:rPr>
            </w:pPr>
          </w:p>
          <w:p>
            <w:pPr>
              <w:spacing w:line="20" w:lineRule="exact"/>
              <w:rPr>
                <w:rFonts w:ascii="仿宋_GB2312" w:hAnsi="仿宋_GB2312" w:eastAsia="仿宋_GB2312" w:cs="仿宋_GB2312"/>
                <w:b/>
                <w:bCs/>
                <w:sz w:val="24"/>
              </w:rPr>
            </w:pPr>
          </w:p>
          <w:p>
            <w:pPr>
              <w:spacing w:line="20" w:lineRule="exact"/>
              <w:rPr>
                <w:rFonts w:ascii="仿宋_GB2312" w:hAnsi="仿宋_GB2312" w:eastAsia="仿宋_GB2312" w:cs="仿宋_GB2312"/>
                <w:b/>
                <w:bCs/>
                <w:sz w:val="24"/>
              </w:rPr>
            </w:pPr>
          </w:p>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三、工程总承包的管理操作实务</w:t>
            </w:r>
          </w:p>
          <w:p>
            <w:pPr>
              <w:pStyle w:val="5"/>
              <w:spacing w:line="240" w:lineRule="exact"/>
              <w:ind w:firstLineChars="0"/>
              <w:rPr>
                <w:rFonts w:ascii="仿宋_GB2312" w:hAnsi="仿宋_GB2312" w:eastAsia="仿宋_GB2312" w:cs="仿宋_GB2312"/>
                <w:sz w:val="24"/>
              </w:rPr>
            </w:pPr>
            <w:r>
              <w:rPr>
                <w:rFonts w:hint="eastAsia" w:ascii="仿宋_GB2312" w:hAnsi="仿宋_GB2312" w:eastAsia="仿宋_GB2312" w:cs="仿宋_GB2312"/>
                <w:sz w:val="24"/>
              </w:rPr>
              <w:t>（一）工程总承包模式的特点与优势</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1.什么是EPC/P&amp;D+B工程总承包？ 什么是设计施工一体化承包？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2.EPC/P&amp;D+B工程总承包管理模式的特征；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3.EPC/P&amp;D+B工程总承包的优势；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4.标准设计施工承包招标文件的构成与特点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5.工程总承包/设计施工一体化承包的操作要点 </w:t>
            </w:r>
          </w:p>
          <w:p>
            <w:pPr>
              <w:spacing w:before="156" w:beforeLines="50" w:line="24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主讲人：孔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17"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10:30-10:40</w:t>
            </w:r>
          </w:p>
        </w:tc>
        <w:tc>
          <w:tcPr>
            <w:tcW w:w="691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left"/>
              <w:rPr>
                <w:rFonts w:ascii="仿宋_GB2312" w:hAnsi="仿宋_GB2312" w:eastAsia="仿宋_GB2312" w:cs="仿宋_GB2312"/>
                <w:sz w:val="24"/>
              </w:rPr>
            </w:pPr>
            <w:r>
              <w:rPr>
                <w:rFonts w:hint="eastAsia" w:ascii="仿宋_GB2312" w:hAnsi="仿宋_GB2312" w:eastAsia="仿宋_GB2312" w:cs="仿宋_GB2312"/>
                <w:color w:val="000000"/>
                <w:szCs w:val="21"/>
              </w:rPr>
              <w:t>中场休息</w:t>
            </w:r>
          </w:p>
        </w:tc>
      </w:tr>
    </w:tbl>
    <w:p>
      <w:pPr>
        <w:spacing w:before="156" w:beforeLines="50" w:line="320" w:lineRule="exact"/>
        <w:jc w:val="center"/>
        <w:rPr>
          <w:rFonts w:ascii="仿宋_GB2312" w:eastAsia="仿宋_GB2312"/>
          <w:b/>
          <w:color w:val="000000"/>
          <w:sz w:val="30"/>
          <w:szCs w:val="30"/>
        </w:rPr>
      </w:pPr>
      <w:r>
        <w:rPr>
          <w:rFonts w:hint="eastAsia" w:ascii="仿宋_GB2312" w:eastAsia="仿宋_GB2312"/>
          <w:b/>
          <w:color w:val="000000"/>
          <w:sz w:val="30"/>
          <w:szCs w:val="30"/>
        </w:rPr>
        <w:t>实务交流会日程安排表</w:t>
      </w:r>
    </w:p>
    <w:p>
      <w:pPr>
        <w:spacing w:line="500" w:lineRule="exact"/>
        <w:rPr>
          <w:rFonts w:ascii="方正小标宋简体" w:hAnsi="方正小标宋简体" w:eastAsia="方正小标宋简体" w:cs="方正小标宋简体"/>
          <w:color w:val="000000"/>
          <w:kern w:val="30"/>
          <w:sz w:val="36"/>
          <w:szCs w:val="36"/>
        </w:rPr>
      </w:pPr>
    </w:p>
    <w:tbl>
      <w:tblPr>
        <w:tblStyle w:val="4"/>
        <w:tblpPr w:leftFromText="180" w:rightFromText="180" w:vertAnchor="text" w:horzAnchor="margin" w:tblpXSpec="center" w:tblpY="127"/>
        <w:tblOverlap w:val="never"/>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853"/>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5" w:hRule="atLeast"/>
        </w:trPr>
        <w:tc>
          <w:tcPr>
            <w:tcW w:w="1117" w:type="dxa"/>
            <w:vMerge w:val="restart"/>
            <w:tcBorders>
              <w:top w:val="single" w:color="auto" w:sz="4" w:space="0"/>
              <w:left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第二天</w:t>
            </w:r>
          </w:p>
        </w:tc>
        <w:tc>
          <w:tcPr>
            <w:tcW w:w="1853" w:type="dxa"/>
            <w:tcBorders>
              <w:top w:val="single" w:color="auto" w:sz="4" w:space="0"/>
              <w:left w:val="single" w:color="auto" w:sz="4" w:space="0"/>
              <w:bottom w:val="single" w:color="auto" w:sz="4" w:space="0"/>
              <w:right w:val="single" w:color="auto" w:sz="4" w:space="0"/>
            </w:tcBorders>
            <w:vAlign w:val="center"/>
          </w:tcPr>
          <w:p>
            <w:pPr>
              <w:spacing w:before="156" w:beforeLines="50" w:line="400" w:lineRule="exact"/>
              <w:jc w:val="center"/>
              <w:rPr>
                <w:rFonts w:ascii="仿宋_GB2312" w:hAnsi="仿宋_GB2312" w:eastAsia="仿宋_GB2312" w:cs="仿宋_GB2312"/>
                <w:b/>
                <w:bCs/>
                <w:sz w:val="24"/>
              </w:rPr>
            </w:pPr>
            <w:r>
              <w:rPr>
                <w:rFonts w:hint="eastAsia" w:ascii="仿宋_GB2312" w:hAnsi="仿宋_GB2312" w:eastAsia="仿宋_GB2312" w:cs="仿宋_GB2312"/>
                <w:color w:val="000000"/>
                <w:szCs w:val="21"/>
              </w:rPr>
              <w:t>10:40-12:00</w:t>
            </w:r>
          </w:p>
        </w:tc>
        <w:tc>
          <w:tcPr>
            <w:tcW w:w="6735" w:type="dxa"/>
            <w:tcBorders>
              <w:top w:val="single" w:color="auto" w:sz="4" w:space="0"/>
              <w:left w:val="single" w:color="auto" w:sz="4" w:space="0"/>
              <w:bottom w:val="single" w:color="auto" w:sz="4" w:space="0"/>
              <w:right w:val="single" w:color="auto" w:sz="4" w:space="0"/>
            </w:tcBorders>
            <w:vAlign w:val="center"/>
          </w:tcPr>
          <w:p>
            <w:pPr>
              <w:pStyle w:val="5"/>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（二）工程总承包的招标采购</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1.招标前需要具备的基本条件</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2.投标人资格的掌控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3.必要的合同附件及其作用</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4.需进行两次及以上答疑</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5.明确总价包干工程、暂估价工程与暂定金额工程范围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6.需要提供充分的回标时间/投标期</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7.评标过程及合同商签</w:t>
            </w:r>
          </w:p>
          <w:p>
            <w:pPr>
              <w:spacing w:line="240" w:lineRule="exact"/>
              <w:ind w:firstLine="480" w:firstLineChars="200"/>
              <w:rPr>
                <w:rFonts w:ascii="仿宋_GB2312" w:hAnsi="仿宋_GB2312" w:eastAsia="仿宋_GB2312" w:cs="仿宋_GB2312"/>
                <w:sz w:val="24"/>
              </w:rPr>
            </w:pP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主讲人：孔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5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12:00-14:00</w:t>
            </w:r>
          </w:p>
        </w:tc>
        <w:tc>
          <w:tcPr>
            <w:tcW w:w="67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中餐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1"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14:00-16:00</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（三）关于对工程总承包的几种错误解读</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1.工程总承包方应承担项目的全部设计工作？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2.工程总承包方应承担项目的勘查工作？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3.工程总承包将自动成为项目的施工总承包？</w:t>
            </w:r>
          </w:p>
          <w:p>
            <w:pPr>
              <w:spacing w:line="240" w:lineRule="exact"/>
              <w:ind w:firstLine="481"/>
              <w:rPr>
                <w:rFonts w:ascii="仿宋_GB2312" w:hAnsi="仿宋_GB2312" w:eastAsia="仿宋_GB2312" w:cs="仿宋_GB2312"/>
                <w:sz w:val="24"/>
              </w:rPr>
            </w:pPr>
            <w:r>
              <w:rPr>
                <w:rFonts w:hint="eastAsia" w:ascii="仿宋_GB2312" w:hAnsi="仿宋_GB2312" w:eastAsia="仿宋_GB2312" w:cs="仿宋_GB2312"/>
                <w:sz w:val="24"/>
              </w:rPr>
              <w:t>4.费率招标是工程总承包的定价方式？</w:t>
            </w:r>
          </w:p>
          <w:p>
            <w:pPr>
              <w:spacing w:line="240" w:lineRule="exact"/>
              <w:ind w:firstLine="481"/>
              <w:rPr>
                <w:rFonts w:ascii="仿宋_GB2312" w:hAnsi="仿宋_GB2312" w:eastAsia="仿宋_GB2312" w:cs="仿宋_GB2312"/>
                <w:sz w:val="24"/>
              </w:rPr>
            </w:pP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主讲人：孔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5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16:00-16:10</w:t>
            </w:r>
          </w:p>
        </w:tc>
        <w:tc>
          <w:tcPr>
            <w:tcW w:w="67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中场休息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16:10-17:30</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_GB2312" w:eastAsia="仿宋_GB2312" w:cs="仿宋_GB2312"/>
                <w:b/>
                <w:bCs/>
                <w:sz w:val="24"/>
              </w:rPr>
            </w:pPr>
            <w:r>
              <w:rPr>
                <w:rFonts w:hint="eastAsia" w:ascii="仿宋_GB2312" w:hAnsi="仿宋_GB2312" w:eastAsia="仿宋_GB2312" w:cs="仿宋_GB2312"/>
                <w:b/>
                <w:sz w:val="24"/>
              </w:rPr>
              <w:t>四、</w:t>
            </w:r>
            <w:r>
              <w:rPr>
                <w:rFonts w:hint="eastAsia" w:ascii="仿宋_GB2312" w:hAnsi="仿宋_GB2312" w:eastAsia="仿宋_GB2312" w:cs="仿宋_GB2312"/>
                <w:b/>
                <w:bCs/>
                <w:sz w:val="24"/>
              </w:rPr>
              <w:t>当前面临的主要问题及可以采用的变通操作做法</w:t>
            </w:r>
          </w:p>
          <w:p>
            <w:pPr>
              <w:spacing w:line="2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 w:val="24"/>
              </w:rPr>
              <w:t>主讲人：孔 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trPr>
        <w:tc>
          <w:tcPr>
            <w:tcW w:w="11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第三天</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08:30-10:30</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五、</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建设项目工程总承包管理规范</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GB/T50358-2017解读</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1.总则、术语、组织和策划管理</w:t>
            </w:r>
          </w:p>
          <w:p>
            <w:pPr>
              <w:spacing w:line="240" w:lineRule="exact"/>
              <w:ind w:firstLine="480" w:firstLineChars="200"/>
              <w:rPr>
                <w:rFonts w:ascii="仿宋_GB2312" w:hAnsi="仿宋_GB2312" w:eastAsia="仿宋_GB2312" w:cs="仿宋_GB2312"/>
                <w:sz w:val="24"/>
              </w:rPr>
            </w:pPr>
          </w:p>
          <w:p>
            <w:pPr>
              <w:spacing w:line="2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 w:val="24"/>
              </w:rPr>
              <w:t>主讲人：李 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85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10:30-10:40</w:t>
            </w:r>
          </w:p>
        </w:tc>
        <w:tc>
          <w:tcPr>
            <w:tcW w:w="67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中场休息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10:40-12:00</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1.总则、术语、组织和策划管理</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主讲人：李 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85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12:00-14:00</w:t>
            </w:r>
          </w:p>
        </w:tc>
        <w:tc>
          <w:tcPr>
            <w:tcW w:w="67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中餐 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14:00-16:00</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2.设计、采购、施工和试运行管理</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主讲人：李 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85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16:00-16:10</w:t>
            </w:r>
          </w:p>
        </w:tc>
        <w:tc>
          <w:tcPr>
            <w:tcW w:w="67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中场休息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16:10-17:30</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3.风险、进度、质量和费用管理</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主讲人：李 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1117" w:type="dxa"/>
            <w:vMerge w:val="restart"/>
            <w:tcBorders>
              <w:top w:val="single" w:color="auto" w:sz="4" w:space="0"/>
              <w:left w:val="single" w:color="auto" w:sz="4" w:space="0"/>
              <w:right w:val="single" w:color="auto" w:sz="4" w:space="0"/>
            </w:tcBorders>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第四天</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08:30-10:30</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4.项目安全、职业健康与环境管理 </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主讲人：李 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117"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85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10:30-10:40</w:t>
            </w:r>
          </w:p>
        </w:tc>
        <w:tc>
          <w:tcPr>
            <w:tcW w:w="67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中场休息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1117"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10:40-12:00</w:t>
            </w:r>
          </w:p>
        </w:tc>
        <w:tc>
          <w:tcPr>
            <w:tcW w:w="67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5．资源、沟通与信息、合同和项目收尾</w:t>
            </w: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主讲人：李 森</w:t>
            </w:r>
          </w:p>
        </w:tc>
      </w:tr>
    </w:tbl>
    <w:p>
      <w:pPr>
        <w:tabs>
          <w:tab w:val="left" w:pos="420"/>
        </w:tabs>
        <w:spacing w:line="360" w:lineRule="exact"/>
        <w:jc w:val="left"/>
        <w:rPr>
          <w:rFonts w:ascii="仿宋_GB2312" w:hAnsi="仿宋_GB2312" w:eastAsia="仿宋_GB2312" w:cs="仿宋_GB2312"/>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B0F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2017-09-26T06:48:25Z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